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06095" w14:textId="370A8E70" w:rsidR="00110189" w:rsidRPr="00110189" w:rsidRDefault="00110189" w:rsidP="00110189">
      <w:pPr>
        <w:spacing w:after="0"/>
        <w:ind w:firstLine="709"/>
        <w:jc w:val="both"/>
      </w:pPr>
      <w:r w:rsidRPr="00110189">
        <w:rPr>
          <w:b/>
          <w:bCs/>
        </w:rPr>
        <w:t xml:space="preserve">Ужесточена административная ответственность за отдельные нарушения законодательства о рекламе </w:t>
      </w:r>
    </w:p>
    <w:p w14:paraId="3E261829" w14:textId="77777777" w:rsidR="00110189" w:rsidRPr="00110189" w:rsidRDefault="00110189" w:rsidP="00110189">
      <w:pPr>
        <w:spacing w:after="0"/>
        <w:ind w:firstLine="709"/>
        <w:jc w:val="both"/>
      </w:pPr>
      <w:r w:rsidRPr="00110189">
        <w:t>С 17.04.2024 ужесточена административная ответственность за отдельные нарушения законодательства о рекламе. Данные изменения внесены Федеральным закон от 06.04.2024 № 78-ФЗ «О внесении изменений в статьи 3.5 и 14.3 Кодекса Российской Федерации об административных правонарушениях».</w:t>
      </w:r>
    </w:p>
    <w:p w14:paraId="5679A32D" w14:textId="77777777" w:rsidR="00110189" w:rsidRPr="00110189" w:rsidRDefault="00110189" w:rsidP="00110189">
      <w:pPr>
        <w:spacing w:after="0"/>
        <w:ind w:firstLine="709"/>
        <w:jc w:val="both"/>
      </w:pPr>
      <w:r w:rsidRPr="00110189">
        <w:t>Так, ст. 14.3 КоАП РФ дополнена частью 4.1 которая утверждает размеры штрафов за нарушение установленных требований к рекламе распространяемой по сетям электросвязи, а именно за спам-звонки и не одобренные абонентом послания по электронной почте.</w:t>
      </w:r>
    </w:p>
    <w:p w14:paraId="1375DDBA" w14:textId="77777777" w:rsidR="00110189" w:rsidRPr="00110189" w:rsidRDefault="00110189" w:rsidP="00110189">
      <w:pPr>
        <w:spacing w:after="0"/>
        <w:ind w:firstLine="709"/>
        <w:jc w:val="both"/>
      </w:pPr>
      <w:r w:rsidRPr="00110189">
        <w:t>Ранее данные нарушения попадали под общий состав нарушений законодательства о рекламе, штрафы за них составляли:</w:t>
      </w:r>
    </w:p>
    <w:p w14:paraId="2BC7DD06" w14:textId="77777777" w:rsidR="00110189" w:rsidRPr="00110189" w:rsidRDefault="00110189" w:rsidP="00110189">
      <w:pPr>
        <w:spacing w:after="0"/>
        <w:ind w:firstLine="709"/>
        <w:jc w:val="both"/>
      </w:pPr>
      <w:r w:rsidRPr="00110189">
        <w:t>для граждан - от 2 000 до 2 500 рублей;</w:t>
      </w:r>
    </w:p>
    <w:p w14:paraId="2D76E85A" w14:textId="77777777" w:rsidR="00110189" w:rsidRPr="00110189" w:rsidRDefault="00110189" w:rsidP="00110189">
      <w:pPr>
        <w:spacing w:after="0"/>
        <w:ind w:firstLine="709"/>
        <w:jc w:val="both"/>
      </w:pPr>
      <w:r w:rsidRPr="00110189">
        <w:t>для должностных лиц - от 4 000 до 20 000 рублей;</w:t>
      </w:r>
    </w:p>
    <w:p w14:paraId="45BC8EE0" w14:textId="77777777" w:rsidR="00110189" w:rsidRPr="00110189" w:rsidRDefault="00110189" w:rsidP="00110189">
      <w:pPr>
        <w:spacing w:after="0"/>
        <w:ind w:firstLine="709"/>
        <w:jc w:val="both"/>
      </w:pPr>
      <w:r w:rsidRPr="00110189">
        <w:t>для юридических лиц - от 100 000 до 500 000 рублей.</w:t>
      </w:r>
    </w:p>
    <w:p w14:paraId="6DC1FA78" w14:textId="77777777" w:rsidR="00110189" w:rsidRPr="00110189" w:rsidRDefault="00110189" w:rsidP="00110189">
      <w:pPr>
        <w:spacing w:after="0"/>
        <w:ind w:firstLine="709"/>
        <w:jc w:val="both"/>
      </w:pPr>
      <w:r w:rsidRPr="00110189">
        <w:t>С 17.04.2024 штрафы за данные нарушения составляют:</w:t>
      </w:r>
    </w:p>
    <w:p w14:paraId="45B2B84B" w14:textId="77777777" w:rsidR="00110189" w:rsidRPr="00110189" w:rsidRDefault="00110189" w:rsidP="00110189">
      <w:pPr>
        <w:spacing w:after="0"/>
        <w:ind w:firstLine="709"/>
        <w:jc w:val="both"/>
      </w:pPr>
      <w:r w:rsidRPr="00110189">
        <w:t>для граждан - от 10 000 до 20 000 рублей;</w:t>
      </w:r>
    </w:p>
    <w:p w14:paraId="7454E1E5" w14:textId="77777777" w:rsidR="00110189" w:rsidRPr="00110189" w:rsidRDefault="00110189" w:rsidP="00110189">
      <w:pPr>
        <w:spacing w:after="0"/>
        <w:ind w:firstLine="709"/>
        <w:jc w:val="both"/>
      </w:pPr>
      <w:r w:rsidRPr="00110189">
        <w:t>для должностных лиц - от 20 000 до 100 000 рублей;</w:t>
      </w:r>
    </w:p>
    <w:p w14:paraId="776B076C" w14:textId="77777777" w:rsidR="00110189" w:rsidRPr="00110189" w:rsidRDefault="00110189" w:rsidP="00110189">
      <w:pPr>
        <w:spacing w:after="0"/>
        <w:ind w:firstLine="709"/>
        <w:jc w:val="both"/>
      </w:pPr>
      <w:r w:rsidRPr="00110189">
        <w:t>для юридических лиц - от 300 000 до 1 000 000 рублей.</w:t>
      </w:r>
    </w:p>
    <w:p w14:paraId="6008B68A" w14:textId="77777777" w:rsidR="00110189" w:rsidRPr="00110189" w:rsidRDefault="00110189" w:rsidP="00110189">
      <w:pPr>
        <w:spacing w:after="0"/>
        <w:ind w:firstLine="709"/>
        <w:jc w:val="both"/>
      </w:pPr>
      <w:r w:rsidRPr="00110189">
        <w:t xml:space="preserve">Изменения в части 6 ст. 14.3 КоАП РФ конкретизируют требования </w:t>
      </w:r>
      <w:proofErr w:type="gramStart"/>
      <w:r w:rsidRPr="00110189">
        <w:t>несоблюдение</w:t>
      </w:r>
      <w:proofErr w:type="gramEnd"/>
      <w:r w:rsidRPr="00110189">
        <w:t xml:space="preserve"> которых ведет к ответственности за недобросовестную рекламу кредитов и займов. Так, реклама должна содержать диапазоны значений полной стоимости потребительского кредита (займа) (все расходы и взносы, которые потребитель заплатит банку или иной организации по договору), которые предоставляются до указания информации о процентных ставках и указываются одинаковым или более крупным шрифтом по сравнению с информацией о процентных ставках.</w:t>
      </w:r>
    </w:p>
    <w:p w14:paraId="494FB329" w14:textId="77777777" w:rsidR="00110189" w:rsidRPr="00110189" w:rsidRDefault="00110189" w:rsidP="00110189">
      <w:pPr>
        <w:spacing w:after="0"/>
        <w:ind w:firstLine="709"/>
        <w:jc w:val="both"/>
      </w:pPr>
      <w:r w:rsidRPr="00110189">
        <w:t>Субъектом данного правонарушения помимо кредитных организаций становятся также микрофинансовые организации, а размеры штрафов увеличиваются в 2 раза:</w:t>
      </w:r>
    </w:p>
    <w:p w14:paraId="1198FC5F" w14:textId="77777777" w:rsidR="00110189" w:rsidRPr="00110189" w:rsidRDefault="00110189" w:rsidP="00110189">
      <w:pPr>
        <w:spacing w:after="0"/>
        <w:ind w:firstLine="709"/>
        <w:jc w:val="both"/>
      </w:pPr>
      <w:r w:rsidRPr="00110189">
        <w:t>на должностных лиц: ранее – от 20 000 до 50 000 рублей, с 17.04.2024 - от 40 000 до 100 000 рублей;</w:t>
      </w:r>
    </w:p>
    <w:p w14:paraId="35167F23" w14:textId="77777777" w:rsidR="00110189" w:rsidRPr="00110189" w:rsidRDefault="00110189" w:rsidP="00110189">
      <w:pPr>
        <w:spacing w:after="0"/>
        <w:ind w:firstLine="709"/>
        <w:jc w:val="both"/>
      </w:pPr>
      <w:r w:rsidRPr="00110189">
        <w:t>для юридических лиц: ранее – от 300 000 до 800 000 рублей, с 17.04.2024 - от 600 000 до 1 600 000 рублей.</w:t>
      </w:r>
    </w:p>
    <w:p w14:paraId="58D5B991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961"/>
    <w:rsid w:val="00110189"/>
    <w:rsid w:val="002124D7"/>
    <w:rsid w:val="003C2961"/>
    <w:rsid w:val="00697D1C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B44C7"/>
  <w15:chartTrackingRefBased/>
  <w15:docId w15:val="{7817E0C3-202F-4A13-8AA3-06C3F56B7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3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9041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182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1436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7878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93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4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30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61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6999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5299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48366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4780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82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2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49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2024-08-26T10:39:00Z</dcterms:created>
  <dcterms:modified xsi:type="dcterms:W3CDTF">2024-08-26T10:40:00Z</dcterms:modified>
</cp:coreProperties>
</file>