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524D" w14:textId="535CD79B" w:rsidR="00F12C76" w:rsidRPr="006F5744" w:rsidRDefault="006F5744" w:rsidP="006F5744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6F5744">
        <w:rPr>
          <w:rFonts w:cs="Times New Roman"/>
          <w:b/>
          <w:bCs/>
          <w:color w:val="333333"/>
          <w:szCs w:val="28"/>
          <w:shd w:val="clear" w:color="auto" w:fill="FFFFFF"/>
        </w:rPr>
        <w:t>Квалифицирующие признаки кражи</w:t>
      </w:r>
    </w:p>
    <w:p w14:paraId="51DC5A16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Уголовная ответственность за совершение кражи, то есть тайного хищения чужого имущества, предусмотрена статьей 158 Уголовного кодекса Российской Федерации (далее – УК РФ).</w:t>
      </w:r>
    </w:p>
    <w:p w14:paraId="0D78D609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За мелкое хищение наступает ответственность по статье 7.27 Кодекса Российской Федерации об административных правонарушениях (далее – КоАП РФ).</w:t>
      </w:r>
    </w:p>
    <w:p w14:paraId="6FB7DB27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Основным критерием разграничения ответственности является размер причиненного имущественного ущерба.</w:t>
      </w:r>
    </w:p>
    <w:p w14:paraId="7B5F56BC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Уголовная ответственность по части 1 статьи 158 УК РФ наступает за тайное хищение чужого имущества, стоимость которого превышает 2,5 тыс. рублей.</w:t>
      </w:r>
    </w:p>
    <w:p w14:paraId="138F55F9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Однако при наличии квалифицирующих признаков кражи, таких как незаконное проникновение в жилище, совершение преступления группой лиц по предварительному сговору и других, размер причиненного ущерба может быть ниже 2,5 тыс. рублей.</w:t>
      </w:r>
    </w:p>
    <w:p w14:paraId="7CE1E5AE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При совершении кражи с причинением значительного ущерба (свыше 5 тыс. рублей) либо ущерба в крупном (свыше 250 тыс. рублей) или особо крупном размере (свыше 1 млн рублей), ответственность наступает по части 2, 3 или 4 статьи 158 УК РФ.</w:t>
      </w:r>
    </w:p>
    <w:p w14:paraId="01353535" w14:textId="77777777" w:rsidR="006F5744" w:rsidRPr="006F5744" w:rsidRDefault="006F5744" w:rsidP="006F57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F5744">
        <w:rPr>
          <w:color w:val="333333"/>
          <w:sz w:val="28"/>
          <w:szCs w:val="28"/>
        </w:rPr>
        <w:t>В случае, когда стоимость похищенного имущества не превышает 2,5 тыс. рублей и отсутствуют квалифицирующие признаки кражи, действия виновного могут повлечь административную ответственность по статье 7.27 КоАП РФ с назначением наказания от штрафа до административного ареста в зависимости от стоимости похищенного.</w:t>
      </w:r>
    </w:p>
    <w:p w14:paraId="24E6EFF4" w14:textId="77777777" w:rsidR="006F5744" w:rsidRPr="006F5744" w:rsidRDefault="006F5744" w:rsidP="006F5744">
      <w:pPr>
        <w:spacing w:after="0"/>
        <w:ind w:firstLine="709"/>
        <w:jc w:val="both"/>
        <w:rPr>
          <w:rFonts w:cs="Times New Roman"/>
          <w:szCs w:val="28"/>
        </w:rPr>
      </w:pPr>
    </w:p>
    <w:sectPr w:rsidR="006F5744" w:rsidRPr="006F57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E8"/>
    <w:rsid w:val="002124D7"/>
    <w:rsid w:val="006C0B77"/>
    <w:rsid w:val="006F5744"/>
    <w:rsid w:val="008242FF"/>
    <w:rsid w:val="00870751"/>
    <w:rsid w:val="008E6CE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3E0F"/>
  <w15:chartTrackingRefBased/>
  <w15:docId w15:val="{8DAF7F4B-22CA-4C1A-9300-EE83DF5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7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2023-12-26T18:06:00Z</dcterms:created>
  <dcterms:modified xsi:type="dcterms:W3CDTF">2023-12-26T18:06:00Z</dcterms:modified>
</cp:coreProperties>
</file>